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4F" w:rsidRDefault="0013444F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13444F" w:rsidRDefault="001344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13444F" w:rsidRPr="007910AB" w:rsidRDefault="001344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7910AB">
        <w:rPr>
          <w:rFonts w:ascii="Times New Roman" w:hAnsi="Times New Roman"/>
          <w:sz w:val="39"/>
          <w:szCs w:val="39"/>
        </w:rPr>
        <w:t>P10_1.9</w:t>
      </w:r>
    </w:p>
    <w:p w:rsidR="0013444F" w:rsidRPr="007910AB" w:rsidRDefault="0013444F" w:rsidP="003E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7910AB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13444F" w:rsidRPr="007910AB" w:rsidRDefault="0013444F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2"/>
          <w:szCs w:val="52"/>
        </w:rPr>
      </w:pPr>
      <w:r w:rsidRPr="007910AB">
        <w:rPr>
          <w:rFonts w:ascii="Times New Roman" w:hAnsi="Times New Roman"/>
          <w:b/>
          <w:color w:val="00B0F0"/>
          <w:sz w:val="52"/>
          <w:szCs w:val="52"/>
        </w:rPr>
        <w:t>Stavové změny ideálního plynu z hlediska energetického</w:t>
      </w:r>
    </w:p>
    <w:p w:rsidR="0013444F" w:rsidRPr="00925D5B" w:rsidRDefault="0013444F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4"/>
          <w:szCs w:val="44"/>
        </w:rPr>
      </w:pPr>
    </w:p>
    <w:p w:rsidR="0013444F" w:rsidRDefault="0013444F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13444F" w:rsidRDefault="001344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13444F" w:rsidRDefault="001344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13444F" w:rsidRPr="007910AB" w:rsidRDefault="0013444F" w:rsidP="0079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tab/>
      </w:r>
    </w:p>
    <w:p w:rsidR="0013444F" w:rsidRDefault="0013444F" w:rsidP="00695CB5">
      <w:pPr>
        <w:pStyle w:val="Default"/>
        <w:jc w:val="center"/>
        <w:rPr>
          <w:sz w:val="40"/>
          <w:szCs w:val="40"/>
        </w:rPr>
      </w:pPr>
      <w:r w:rsidRPr="007910AB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48.25pt;height:186pt;visibility:visible">
            <v:imagedata r:id="rId7" o:title=""/>
          </v:shape>
        </w:pict>
      </w:r>
    </w:p>
    <w:p w:rsidR="0013444F" w:rsidRDefault="0013444F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13444F" w:rsidRDefault="0013444F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13444F" w:rsidRDefault="0013444F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13444F" w:rsidRDefault="0013444F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13444F" w:rsidRDefault="0013444F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3444F" w:rsidRDefault="0013444F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13444F" w:rsidRDefault="0013444F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13444F" w:rsidRDefault="0013444F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13444F" w:rsidRPr="007910AB" w:rsidRDefault="0013444F" w:rsidP="007910A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leden 2013</w:t>
      </w:r>
    </w:p>
    <w:p w:rsidR="0013444F" w:rsidRPr="009E266C" w:rsidRDefault="0013444F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13444F" w:rsidRDefault="0013444F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13444F" w:rsidRDefault="0013444F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13444F" w:rsidRDefault="0013444F" w:rsidP="009E266C">
      <w:pPr>
        <w:rPr>
          <w:rFonts w:ascii="Times New Roman" w:hAnsi="Times New Roman"/>
          <w:sz w:val="24"/>
          <w:szCs w:val="24"/>
        </w:rPr>
      </w:pPr>
    </w:p>
    <w:p w:rsidR="0013444F" w:rsidRPr="00043D9D" w:rsidRDefault="0013444F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13444F" w:rsidRPr="00043D9D" w:rsidRDefault="0013444F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Vnitřní energie</w:t>
      </w:r>
    </w:p>
    <w:p w:rsidR="0013444F" w:rsidRPr="00043D9D" w:rsidRDefault="0013444F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plynu</w:t>
      </w:r>
    </w:p>
    <w:p w:rsidR="0013444F" w:rsidRDefault="0013444F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Teplo</w:t>
      </w:r>
    </w:p>
    <w:p w:rsidR="0013444F" w:rsidRDefault="0013444F" w:rsidP="009F5FDD">
      <w:pPr>
        <w:ind w:left="360"/>
        <w:jc w:val="center"/>
        <w:rPr>
          <w:b/>
          <w:sz w:val="36"/>
          <w:szCs w:val="36"/>
        </w:rPr>
      </w:pPr>
    </w:p>
    <w:p w:rsidR="0013444F" w:rsidRDefault="0013444F" w:rsidP="009F5FDD">
      <w:pPr>
        <w:ind w:left="360"/>
        <w:jc w:val="center"/>
        <w:rPr>
          <w:b/>
          <w:sz w:val="36"/>
          <w:szCs w:val="36"/>
        </w:rPr>
      </w:pPr>
    </w:p>
    <w:p w:rsidR="0013444F" w:rsidRDefault="0013444F" w:rsidP="009F5FDD">
      <w:pPr>
        <w:ind w:left="360"/>
        <w:jc w:val="center"/>
        <w:rPr>
          <w:b/>
          <w:sz w:val="36"/>
          <w:szCs w:val="36"/>
        </w:rPr>
      </w:pPr>
    </w:p>
    <w:p w:rsidR="0013444F" w:rsidRDefault="0013444F" w:rsidP="009F5FDD">
      <w:pPr>
        <w:ind w:left="360"/>
        <w:jc w:val="center"/>
        <w:rPr>
          <w:b/>
          <w:sz w:val="36"/>
          <w:szCs w:val="36"/>
        </w:rPr>
      </w:pPr>
    </w:p>
    <w:p w:rsidR="0013444F" w:rsidRDefault="0013444F" w:rsidP="009F5FDD">
      <w:pPr>
        <w:ind w:left="360"/>
        <w:jc w:val="center"/>
        <w:rPr>
          <w:b/>
          <w:sz w:val="36"/>
          <w:szCs w:val="36"/>
        </w:rPr>
      </w:pPr>
    </w:p>
    <w:p w:rsidR="0013444F" w:rsidRDefault="0013444F" w:rsidP="009F5FDD">
      <w:pPr>
        <w:ind w:left="360"/>
        <w:jc w:val="center"/>
        <w:rPr>
          <w:b/>
          <w:sz w:val="36"/>
          <w:szCs w:val="36"/>
        </w:rPr>
      </w:pPr>
    </w:p>
    <w:p w:rsidR="0013444F" w:rsidRDefault="0013444F" w:rsidP="009F5FDD">
      <w:pPr>
        <w:ind w:left="360"/>
        <w:jc w:val="center"/>
        <w:rPr>
          <w:b/>
          <w:sz w:val="36"/>
          <w:szCs w:val="36"/>
        </w:rPr>
      </w:pPr>
    </w:p>
    <w:p w:rsidR="0013444F" w:rsidRDefault="0013444F" w:rsidP="009F5FDD">
      <w:pPr>
        <w:ind w:left="360"/>
        <w:jc w:val="center"/>
        <w:rPr>
          <w:b/>
          <w:sz w:val="36"/>
          <w:szCs w:val="36"/>
        </w:rPr>
      </w:pPr>
    </w:p>
    <w:p w:rsidR="0013444F" w:rsidRDefault="0013444F" w:rsidP="009F5FDD">
      <w:pPr>
        <w:ind w:left="360"/>
        <w:jc w:val="center"/>
        <w:rPr>
          <w:b/>
          <w:sz w:val="36"/>
          <w:szCs w:val="36"/>
        </w:rPr>
      </w:pPr>
    </w:p>
    <w:p w:rsidR="0013444F" w:rsidRDefault="0013444F" w:rsidP="007910AB">
      <w:pPr>
        <w:rPr>
          <w:b/>
          <w:sz w:val="36"/>
          <w:szCs w:val="36"/>
        </w:rPr>
      </w:pPr>
    </w:p>
    <w:p w:rsidR="0013444F" w:rsidRDefault="0013444F" w:rsidP="00210BAA">
      <w:pPr>
        <w:jc w:val="center"/>
        <w:rPr>
          <w:b/>
          <w:sz w:val="36"/>
          <w:szCs w:val="36"/>
        </w:rPr>
      </w:pPr>
      <w:r w:rsidRPr="003935AA">
        <w:rPr>
          <w:b/>
          <w:sz w:val="36"/>
          <w:szCs w:val="36"/>
        </w:rPr>
        <w:t>Stavové změny ideálního plynu z hlediska energetického</w:t>
      </w:r>
    </w:p>
    <w:p w:rsidR="0013444F" w:rsidRDefault="0013444F" w:rsidP="00210BAA">
      <w:pPr>
        <w:jc w:val="center"/>
        <w:rPr>
          <w:b/>
          <w:sz w:val="36"/>
          <w:szCs w:val="36"/>
        </w:rPr>
      </w:pPr>
    </w:p>
    <w:p w:rsidR="0013444F" w:rsidRDefault="0013444F" w:rsidP="00210BAA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Doplňte</w:t>
      </w:r>
    </w:p>
    <w:p w:rsidR="0013444F" w:rsidRDefault="0013444F" w:rsidP="00210BAA">
      <w:pPr>
        <w:numPr>
          <w:ilvl w:val="0"/>
          <w:numId w:val="23"/>
        </w:numPr>
        <w:spacing w:after="0" w:line="240" w:lineRule="auto"/>
        <w:rPr>
          <w:color w:val="FF0000"/>
        </w:rPr>
      </w:pPr>
      <w:r>
        <w:t>Při izotermickém ději se přijaté teplo rovná ……………………………………………………………………………</w:t>
      </w:r>
    </w:p>
    <w:p w:rsidR="0013444F" w:rsidRDefault="0013444F" w:rsidP="00210BAA">
      <w:pPr>
        <w:ind w:left="360"/>
        <w:rPr>
          <w:color w:val="FF0000"/>
        </w:rPr>
      </w:pPr>
    </w:p>
    <w:p w:rsidR="0013444F" w:rsidRDefault="0013444F" w:rsidP="00210BAA">
      <w:pPr>
        <w:ind w:left="360"/>
        <w:rPr>
          <w:color w:val="FF0000"/>
        </w:rPr>
      </w:pPr>
    </w:p>
    <w:p w:rsidR="0013444F" w:rsidRDefault="0013444F" w:rsidP="00210BAA">
      <w:pPr>
        <w:numPr>
          <w:ilvl w:val="0"/>
          <w:numId w:val="23"/>
        </w:numPr>
        <w:spacing w:after="0" w:line="240" w:lineRule="auto"/>
        <w:rPr>
          <w:color w:val="FF0000"/>
        </w:rPr>
      </w:pPr>
      <w:r>
        <w:t>Při izochorickém ději se přijaté teplo rovná ………………………………………………………………………….</w:t>
      </w:r>
    </w:p>
    <w:p w:rsidR="0013444F" w:rsidRDefault="0013444F" w:rsidP="00210BAA">
      <w:pPr>
        <w:rPr>
          <w:color w:val="FF0000"/>
        </w:rPr>
      </w:pPr>
    </w:p>
    <w:p w:rsidR="0013444F" w:rsidRDefault="0013444F" w:rsidP="00210BAA">
      <w:pPr>
        <w:ind w:left="360"/>
        <w:rPr>
          <w:color w:val="FF0000"/>
        </w:rPr>
      </w:pPr>
    </w:p>
    <w:p w:rsidR="0013444F" w:rsidRPr="00210BAA" w:rsidRDefault="0013444F" w:rsidP="00210BAA">
      <w:pPr>
        <w:numPr>
          <w:ilvl w:val="0"/>
          <w:numId w:val="23"/>
        </w:numPr>
        <w:spacing w:after="0" w:line="240" w:lineRule="auto"/>
        <w:rPr>
          <w:color w:val="FF0000"/>
        </w:rPr>
      </w:pPr>
      <w:r>
        <w:t>Při izobarickém ději se přijaté teplo rovná ...............................................................................</w:t>
      </w:r>
    </w:p>
    <w:p w:rsidR="0013444F" w:rsidRDefault="0013444F" w:rsidP="00210BAA">
      <w:pPr>
        <w:rPr>
          <w:color w:val="FF0000"/>
        </w:rPr>
      </w:pPr>
    </w:p>
    <w:p w:rsidR="0013444F" w:rsidRDefault="0013444F" w:rsidP="00210BAA">
      <w:pPr>
        <w:rPr>
          <w:color w:val="FF0000"/>
        </w:rPr>
      </w:pPr>
    </w:p>
    <w:p w:rsidR="0013444F" w:rsidRDefault="0013444F" w:rsidP="00210BAA">
      <w:pPr>
        <w:rPr>
          <w:color w:val="FF0000"/>
        </w:rPr>
      </w:pPr>
    </w:p>
    <w:p w:rsidR="0013444F" w:rsidRDefault="0013444F" w:rsidP="00210BAA">
      <w:pPr>
        <w:rPr>
          <w:color w:val="FF0000"/>
        </w:rPr>
      </w:pPr>
    </w:p>
    <w:p w:rsidR="0013444F" w:rsidRDefault="0013444F" w:rsidP="001E3B5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</w:p>
    <w:p w:rsidR="0013444F" w:rsidRDefault="0013444F" w:rsidP="00210BAA">
      <w:pPr>
        <w:ind w:firstLine="360"/>
        <w:rPr>
          <w:b/>
          <w:sz w:val="28"/>
          <w:szCs w:val="28"/>
        </w:rPr>
      </w:pPr>
    </w:p>
    <w:p w:rsidR="0013444F" w:rsidRDefault="0013444F" w:rsidP="00210BAA">
      <w:pPr>
        <w:ind w:left="705" w:hanging="345"/>
      </w:pPr>
      <w:r>
        <w:t xml:space="preserve">1. </w:t>
      </w:r>
      <w:r>
        <w:tab/>
        <w:t>Děj, který probíhá v plynové náplni plynového teploměru při jeho použití, lze prakticky považovat:</w:t>
      </w:r>
      <w:r>
        <w:tab/>
      </w:r>
    </w:p>
    <w:p w:rsidR="0013444F" w:rsidRDefault="0013444F" w:rsidP="00210BAA">
      <w:r>
        <w:tab/>
        <w:t>a) izobarický</w:t>
      </w:r>
      <w:r>
        <w:tab/>
      </w:r>
      <w:r>
        <w:tab/>
      </w:r>
      <w:r w:rsidRPr="00464B66">
        <w:t>b)</w:t>
      </w:r>
      <w:r>
        <w:rPr>
          <w:color w:val="FF0000"/>
        </w:rPr>
        <w:t xml:space="preserve"> </w:t>
      </w:r>
      <w:r>
        <w:t>izochorický</w:t>
      </w:r>
      <w:r>
        <w:tab/>
      </w:r>
      <w:r>
        <w:tab/>
        <w:t>c) izotermický</w:t>
      </w:r>
      <w:r>
        <w:tab/>
      </w:r>
      <w:r>
        <w:tab/>
        <w:t>d) adiabatický</w:t>
      </w:r>
    </w:p>
    <w:p w:rsidR="0013444F" w:rsidRDefault="0013444F" w:rsidP="00210BAA"/>
    <w:p w:rsidR="0013444F" w:rsidRDefault="0013444F" w:rsidP="001E3B50">
      <w:pPr>
        <w:numPr>
          <w:ilvl w:val="0"/>
          <w:numId w:val="28"/>
        </w:numPr>
        <w:spacing w:after="0" w:line="240" w:lineRule="auto"/>
      </w:pPr>
      <w:r>
        <w:t>Při adiabatickém ději můžeme přírůstek vnitřní energie soustavy vyjádřit jako:</w:t>
      </w:r>
    </w:p>
    <w:p w:rsidR="0013444F" w:rsidRDefault="0013444F" w:rsidP="00210BAA">
      <w:pPr>
        <w:ind w:left="708"/>
      </w:pPr>
      <w:r w:rsidRPr="00043F11">
        <w:t>a)</w:t>
      </w:r>
      <w:r>
        <w:t xml:space="preserve"> </w:t>
      </w:r>
      <w:r w:rsidRPr="00043F11">
        <w:rPr>
          <w:position w:val="-10"/>
        </w:rPr>
        <w:object w:dxaOrig="859" w:dyaOrig="320">
          <v:shape id="_x0000_i1028" type="#_x0000_t75" style="width:42.75pt;height:15.75pt" o:ole="">
            <v:imagedata r:id="rId8" o:title=""/>
          </v:shape>
          <o:OLEObject Type="Embed" ProgID="Equation.3" ShapeID="_x0000_i1028" DrawAspect="Content" ObjectID="_1435318720" r:id="rId9"/>
        </w:object>
      </w:r>
      <w:r>
        <w:t xml:space="preserve"> </w:t>
      </w:r>
      <w:r>
        <w:tab/>
      </w:r>
      <w:r>
        <w:tab/>
        <w:t xml:space="preserve">b) </w:t>
      </w:r>
      <w:r w:rsidRPr="00043F11">
        <w:rPr>
          <w:position w:val="-10"/>
        </w:rPr>
        <w:object w:dxaOrig="999" w:dyaOrig="320">
          <v:shape id="_x0000_i1029" type="#_x0000_t75" style="width:50.25pt;height:15.75pt" o:ole="">
            <v:imagedata r:id="rId10" o:title=""/>
          </v:shape>
          <o:OLEObject Type="Embed" ProgID="Equation.3" ShapeID="_x0000_i1029" DrawAspect="Content" ObjectID="_1435318721" r:id="rId11"/>
        </w:object>
      </w:r>
      <w:r>
        <w:tab/>
      </w:r>
      <w:r>
        <w:tab/>
      </w:r>
      <w:r w:rsidRPr="00464B66">
        <w:t>c)</w:t>
      </w:r>
      <w:r>
        <w:t xml:space="preserve"> </w:t>
      </w:r>
      <w:r w:rsidRPr="00043F11">
        <w:rPr>
          <w:position w:val="-6"/>
        </w:rPr>
        <w:object w:dxaOrig="900" w:dyaOrig="279">
          <v:shape id="_x0000_i1030" type="#_x0000_t75" style="width:45pt;height:14.25pt" o:ole="">
            <v:imagedata r:id="rId12" o:title=""/>
          </v:shape>
          <o:OLEObject Type="Embed" ProgID="Equation.3" ShapeID="_x0000_i1030" DrawAspect="Content" ObjectID="_1435318722" r:id="rId13"/>
        </w:object>
      </w:r>
      <w:r>
        <w:tab/>
      </w:r>
      <w:r>
        <w:tab/>
        <w:t xml:space="preserve">d) </w:t>
      </w:r>
      <w:r w:rsidRPr="00043F11">
        <w:rPr>
          <w:position w:val="-6"/>
        </w:rPr>
        <w:object w:dxaOrig="1040" w:dyaOrig="279">
          <v:shape id="_x0000_i1031" type="#_x0000_t75" style="width:51.75pt;height:14.25pt" o:ole="">
            <v:imagedata r:id="rId14" o:title=""/>
          </v:shape>
          <o:OLEObject Type="Embed" ProgID="Equation.3" ShapeID="_x0000_i1031" DrawAspect="Content" ObjectID="_1435318723" r:id="rId15"/>
        </w:object>
      </w:r>
    </w:p>
    <w:p w:rsidR="0013444F" w:rsidRDefault="0013444F" w:rsidP="00210BAA">
      <w:pPr>
        <w:rPr>
          <w:color w:val="FF0000"/>
        </w:rPr>
      </w:pPr>
    </w:p>
    <w:p w:rsidR="0013444F" w:rsidRDefault="0013444F" w:rsidP="001E3B50">
      <w:pPr>
        <w:numPr>
          <w:ilvl w:val="0"/>
          <w:numId w:val="28"/>
        </w:numPr>
        <w:spacing w:after="0" w:line="240" w:lineRule="auto"/>
      </w:pPr>
      <w:r>
        <w:t>Při ději, který není spojen s konáním práce, lze přírůstek vnitřní energie vyjádřit jako:</w:t>
      </w:r>
    </w:p>
    <w:p w:rsidR="0013444F" w:rsidRPr="00043F11" w:rsidRDefault="0013444F" w:rsidP="00210BAA">
      <w:pPr>
        <w:ind w:left="708"/>
      </w:pPr>
    </w:p>
    <w:p w:rsidR="0013444F" w:rsidRDefault="0013444F" w:rsidP="00210BAA">
      <w:pPr>
        <w:ind w:left="708"/>
      </w:pPr>
      <w:r w:rsidRPr="00464B66">
        <w:t>a)</w:t>
      </w:r>
      <w:r>
        <w:t xml:space="preserve"> </w:t>
      </w:r>
      <w:r w:rsidRPr="00043F11">
        <w:rPr>
          <w:position w:val="-10"/>
        </w:rPr>
        <w:object w:dxaOrig="859" w:dyaOrig="320">
          <v:shape id="_x0000_i1032" type="#_x0000_t75" style="width:42.75pt;height:15.75pt" o:ole="">
            <v:imagedata r:id="rId8" o:title=""/>
          </v:shape>
          <o:OLEObject Type="Embed" ProgID="Equation.3" ShapeID="_x0000_i1032" DrawAspect="Content" ObjectID="_1435318724" r:id="rId16"/>
        </w:object>
      </w:r>
      <w:r>
        <w:t xml:space="preserve"> </w:t>
      </w:r>
      <w:r>
        <w:tab/>
      </w:r>
      <w:r>
        <w:tab/>
        <w:t xml:space="preserve">b) </w:t>
      </w:r>
      <w:r w:rsidRPr="00043F11">
        <w:rPr>
          <w:position w:val="-10"/>
        </w:rPr>
        <w:object w:dxaOrig="999" w:dyaOrig="320">
          <v:shape id="_x0000_i1033" type="#_x0000_t75" style="width:50.25pt;height:15.75pt" o:ole="">
            <v:imagedata r:id="rId10" o:title=""/>
          </v:shape>
          <o:OLEObject Type="Embed" ProgID="Equation.3" ShapeID="_x0000_i1033" DrawAspect="Content" ObjectID="_1435318725" r:id="rId17"/>
        </w:object>
      </w:r>
      <w:r>
        <w:tab/>
      </w:r>
      <w:r>
        <w:tab/>
        <w:t xml:space="preserve">c) </w:t>
      </w:r>
      <w:r w:rsidRPr="00043F11">
        <w:rPr>
          <w:position w:val="-6"/>
        </w:rPr>
        <w:object w:dxaOrig="900" w:dyaOrig="279">
          <v:shape id="_x0000_i1034" type="#_x0000_t75" style="width:45pt;height:14.25pt" o:ole="">
            <v:imagedata r:id="rId12" o:title=""/>
          </v:shape>
          <o:OLEObject Type="Embed" ProgID="Equation.3" ShapeID="_x0000_i1034" DrawAspect="Content" ObjectID="_1435318726" r:id="rId18"/>
        </w:object>
      </w:r>
      <w:r>
        <w:tab/>
      </w:r>
      <w:r>
        <w:tab/>
        <w:t xml:space="preserve">d) </w:t>
      </w:r>
      <w:r w:rsidRPr="00043F11">
        <w:rPr>
          <w:position w:val="-6"/>
        </w:rPr>
        <w:object w:dxaOrig="1040" w:dyaOrig="279">
          <v:shape id="_x0000_i1035" type="#_x0000_t75" style="width:51.75pt;height:14.25pt" o:ole="">
            <v:imagedata r:id="rId14" o:title=""/>
          </v:shape>
          <o:OLEObject Type="Embed" ProgID="Equation.3" ShapeID="_x0000_i1035" DrawAspect="Content" ObjectID="_1435318727" r:id="rId19"/>
        </w:object>
      </w:r>
    </w:p>
    <w:p w:rsidR="0013444F" w:rsidRDefault="0013444F" w:rsidP="00210BAA"/>
    <w:p w:rsidR="0013444F" w:rsidRDefault="0013444F" w:rsidP="001E3B50">
      <w:pPr>
        <w:numPr>
          <w:ilvl w:val="0"/>
          <w:numId w:val="28"/>
        </w:numPr>
        <w:spacing w:after="0" w:line="240" w:lineRule="auto"/>
      </w:pPr>
      <w:r>
        <w:t>Při izotermickém ději s ideálním plynem platí:</w:t>
      </w:r>
    </w:p>
    <w:p w:rsidR="0013444F" w:rsidRDefault="0013444F" w:rsidP="00210BAA">
      <w:pPr>
        <w:ind w:left="708"/>
      </w:pPr>
      <w:r w:rsidRPr="00464B66">
        <w:t>a)</w:t>
      </w:r>
      <w:r>
        <w:t xml:space="preserve"> </w:t>
      </w:r>
      <w:r w:rsidRPr="00DD46E7">
        <w:rPr>
          <w:position w:val="-6"/>
        </w:rPr>
        <w:object w:dxaOrig="800" w:dyaOrig="279">
          <v:shape id="_x0000_i1036" type="#_x0000_t75" style="width:39.75pt;height:14.25pt" o:ole="">
            <v:imagedata r:id="rId20" o:title=""/>
          </v:shape>
          <o:OLEObject Type="Embed" ProgID="Equation.3" ShapeID="_x0000_i1036" DrawAspect="Content" ObjectID="_1435318728" r:id="rId21"/>
        </w:object>
      </w:r>
      <w:r>
        <w:t xml:space="preserve"> </w:t>
      </w:r>
      <w:r>
        <w:tab/>
      </w:r>
      <w:r>
        <w:tab/>
        <w:t xml:space="preserve">b) </w:t>
      </w:r>
      <w:r w:rsidRPr="00043F11">
        <w:rPr>
          <w:position w:val="-10"/>
        </w:rPr>
        <w:object w:dxaOrig="859" w:dyaOrig="320">
          <v:shape id="_x0000_i1037" type="#_x0000_t75" style="width:42.75pt;height:15.75pt" o:ole="">
            <v:imagedata r:id="rId22" o:title=""/>
          </v:shape>
          <o:OLEObject Type="Embed" ProgID="Equation.3" ShapeID="_x0000_i1037" DrawAspect="Content" ObjectID="_1435318729" r:id="rId23"/>
        </w:object>
      </w:r>
      <w:r>
        <w:tab/>
      </w:r>
      <w:r>
        <w:tab/>
        <w:t xml:space="preserve">c) </w:t>
      </w:r>
      <w:r w:rsidRPr="00043F11">
        <w:rPr>
          <w:position w:val="-6"/>
        </w:rPr>
        <w:object w:dxaOrig="900" w:dyaOrig="279">
          <v:shape id="_x0000_i1038" type="#_x0000_t75" style="width:45pt;height:14.25pt" o:ole="">
            <v:imagedata r:id="rId12" o:title=""/>
          </v:shape>
          <o:OLEObject Type="Embed" ProgID="Equation.3" ShapeID="_x0000_i1038" DrawAspect="Content" ObjectID="_1435318730" r:id="rId24"/>
        </w:object>
      </w:r>
      <w:r>
        <w:tab/>
      </w:r>
      <w:r>
        <w:tab/>
        <w:t xml:space="preserve">d) </w:t>
      </w:r>
      <w:r w:rsidRPr="00DD46E7">
        <w:rPr>
          <w:position w:val="-10"/>
        </w:rPr>
        <w:object w:dxaOrig="999" w:dyaOrig="320">
          <v:shape id="_x0000_i1039" type="#_x0000_t75" style="width:50.25pt;height:15.75pt" o:ole="">
            <v:imagedata r:id="rId25" o:title=""/>
          </v:shape>
          <o:OLEObject Type="Embed" ProgID="Equation.3" ShapeID="_x0000_i1039" DrawAspect="Content" ObjectID="_1435318731" r:id="rId26"/>
        </w:object>
      </w:r>
    </w:p>
    <w:p w:rsidR="0013444F" w:rsidRDefault="0013444F" w:rsidP="00210BAA">
      <w:pPr>
        <w:ind w:left="708"/>
      </w:pPr>
    </w:p>
    <w:p w:rsidR="0013444F" w:rsidRDefault="0013444F" w:rsidP="001E3B50">
      <w:pPr>
        <w:numPr>
          <w:ilvl w:val="0"/>
          <w:numId w:val="28"/>
        </w:numPr>
        <w:spacing w:after="0" w:line="240" w:lineRule="auto"/>
      </w:pPr>
      <w:r>
        <w:t>Teplo přijaté plynem při izotermickém ději:</w:t>
      </w:r>
    </w:p>
    <w:p w:rsidR="0013444F" w:rsidRDefault="0013444F" w:rsidP="00464B66">
      <w:pPr>
        <w:numPr>
          <w:ilvl w:val="0"/>
          <w:numId w:val="26"/>
        </w:numPr>
        <w:spacing w:after="0" w:line="240" w:lineRule="auto"/>
      </w:pPr>
      <w:r>
        <w:t>je menší než práce, kterou plyn v průběhu tohoto děje vykoná</w:t>
      </w:r>
      <w:r>
        <w:tab/>
      </w:r>
    </w:p>
    <w:p w:rsidR="0013444F" w:rsidRDefault="0013444F" w:rsidP="00464B66">
      <w:pPr>
        <w:ind w:left="720"/>
      </w:pPr>
      <w:r w:rsidRPr="00464B66">
        <w:t>b)</w:t>
      </w:r>
      <w:r>
        <w:rPr>
          <w:color w:val="FF0000"/>
        </w:rPr>
        <w:t xml:space="preserve">   </w:t>
      </w:r>
      <w:r>
        <w:t>se rovná práci vykonané plynem v průběhu děje                                                                              c)   je větší než práce, kterou plyn v průběhu děje vykoná                                                                            d)  žádná z nabídnutých odpovědí není správná</w:t>
      </w:r>
    </w:p>
    <w:p w:rsidR="0013444F" w:rsidRDefault="0013444F" w:rsidP="00210BAA"/>
    <w:p w:rsidR="0013444F" w:rsidRDefault="0013444F" w:rsidP="001E3B50">
      <w:pPr>
        <w:numPr>
          <w:ilvl w:val="0"/>
          <w:numId w:val="28"/>
        </w:numPr>
        <w:spacing w:after="0" w:line="240" w:lineRule="auto"/>
      </w:pPr>
      <w:r>
        <w:t>Vyberte správný výraz pro izobarický děj s ideálním plynem:</w:t>
      </w:r>
    </w:p>
    <w:p w:rsidR="0013444F" w:rsidRDefault="0013444F" w:rsidP="00210BAA">
      <w:pPr>
        <w:ind w:left="708"/>
      </w:pPr>
      <w:r w:rsidRPr="00EA6AA5">
        <w:t>a)</w:t>
      </w:r>
      <w:r>
        <w:t xml:space="preserve"> </w:t>
      </w:r>
      <w:r w:rsidRPr="00DD46E7">
        <w:rPr>
          <w:position w:val="-6"/>
        </w:rPr>
        <w:object w:dxaOrig="800" w:dyaOrig="279">
          <v:shape id="_x0000_i1040" type="#_x0000_t75" style="width:39.75pt;height:14.25pt" o:ole="">
            <v:imagedata r:id="rId20" o:title=""/>
          </v:shape>
          <o:OLEObject Type="Embed" ProgID="Equation.3" ShapeID="_x0000_i1040" DrawAspect="Content" ObjectID="_1435318732" r:id="rId27"/>
        </w:object>
      </w:r>
      <w:r>
        <w:t xml:space="preserve"> </w:t>
      </w:r>
      <w:r>
        <w:tab/>
      </w:r>
      <w:r>
        <w:tab/>
        <w:t xml:space="preserve">b) </w:t>
      </w:r>
      <w:r w:rsidRPr="00EA6AA5">
        <w:rPr>
          <w:position w:val="-14"/>
        </w:rPr>
        <w:object w:dxaOrig="940" w:dyaOrig="380">
          <v:shape id="_x0000_i1041" type="#_x0000_t75" style="width:47.25pt;height:18.75pt" o:ole="">
            <v:imagedata r:id="rId28" o:title=""/>
          </v:shape>
          <o:OLEObject Type="Embed" ProgID="Equation.3" ShapeID="_x0000_i1041" DrawAspect="Content" ObjectID="_1435318733" r:id="rId29"/>
        </w:object>
      </w:r>
      <w:r>
        <w:tab/>
      </w:r>
      <w:r>
        <w:tab/>
        <w:t xml:space="preserve">c) </w:t>
      </w:r>
      <w:r w:rsidRPr="00043F11">
        <w:rPr>
          <w:position w:val="-6"/>
        </w:rPr>
        <w:object w:dxaOrig="900" w:dyaOrig="279">
          <v:shape id="_x0000_i1042" type="#_x0000_t75" style="width:45pt;height:14.25pt" o:ole="">
            <v:imagedata r:id="rId12" o:title=""/>
          </v:shape>
          <o:OLEObject Type="Embed" ProgID="Equation.3" ShapeID="_x0000_i1042" DrawAspect="Content" ObjectID="_1435318734" r:id="rId30"/>
        </w:object>
      </w:r>
      <w:r>
        <w:tab/>
      </w:r>
      <w:r>
        <w:tab/>
      </w:r>
      <w:r w:rsidRPr="00464B66">
        <w:t>d)</w:t>
      </w:r>
      <w:r>
        <w:t xml:space="preserve"> </w:t>
      </w:r>
      <w:r w:rsidRPr="00EA6AA5">
        <w:rPr>
          <w:position w:val="-14"/>
        </w:rPr>
        <w:object w:dxaOrig="1420" w:dyaOrig="380">
          <v:shape id="_x0000_i1043" type="#_x0000_t75" style="width:71.25pt;height:18.75pt" o:ole="">
            <v:imagedata r:id="rId31" o:title=""/>
          </v:shape>
          <o:OLEObject Type="Embed" ProgID="Equation.3" ShapeID="_x0000_i1043" DrawAspect="Content" ObjectID="_1435318735" r:id="rId32"/>
        </w:object>
      </w:r>
    </w:p>
    <w:p w:rsidR="0013444F" w:rsidRDefault="0013444F" w:rsidP="00210BAA"/>
    <w:p w:rsidR="0013444F" w:rsidRDefault="0013444F" w:rsidP="001E3B50">
      <w:pPr>
        <w:numPr>
          <w:ilvl w:val="0"/>
          <w:numId w:val="28"/>
        </w:numPr>
        <w:spacing w:after="0" w:line="240" w:lineRule="auto"/>
      </w:pPr>
      <w:r>
        <w:t>Pro měrné tepelné kapacity plynu při stálém tlaku c</w:t>
      </w:r>
      <w:r>
        <w:rPr>
          <w:vertAlign w:val="subscript"/>
        </w:rPr>
        <w:t>p</w:t>
      </w:r>
      <w:r>
        <w:t xml:space="preserve"> a při stálém objemu c</w:t>
      </w:r>
      <w:r>
        <w:rPr>
          <w:vertAlign w:val="subscript"/>
        </w:rPr>
        <w:t>v</w:t>
      </w:r>
      <w:r>
        <w:t xml:space="preserve"> platí.</w:t>
      </w:r>
    </w:p>
    <w:p w:rsidR="0013444F" w:rsidRPr="00EA6AA5" w:rsidRDefault="0013444F" w:rsidP="00210BAA">
      <w:pPr>
        <w:ind w:left="708"/>
        <w:rPr>
          <w:color w:val="FF0000"/>
        </w:rPr>
      </w:pPr>
      <w:r>
        <w:t>a)  c</w:t>
      </w:r>
      <w:r>
        <w:rPr>
          <w:vertAlign w:val="subscript"/>
        </w:rPr>
        <w:t>p</w:t>
      </w:r>
      <w:r w:rsidRPr="007910AB">
        <w:rPr>
          <w:vertAlign w:val="subscript"/>
          <w:lang w:val="pt-BR"/>
        </w:rPr>
        <w:t xml:space="preserve"> </w:t>
      </w:r>
      <w:r w:rsidRPr="007910AB">
        <w:rPr>
          <w:lang w:val="pt-BR"/>
        </w:rPr>
        <w:t>&lt; c</w:t>
      </w:r>
      <w:r w:rsidRPr="007910AB">
        <w:rPr>
          <w:vertAlign w:val="subscript"/>
          <w:lang w:val="pt-BR"/>
        </w:rPr>
        <w:t>v</w:t>
      </w:r>
      <w:r w:rsidRPr="007910AB">
        <w:rPr>
          <w:vertAlign w:val="subscript"/>
          <w:lang w:val="pt-BR"/>
        </w:rPr>
        <w:tab/>
      </w:r>
      <w:r w:rsidRPr="007910AB">
        <w:rPr>
          <w:vertAlign w:val="subscript"/>
          <w:lang w:val="pt-BR"/>
        </w:rPr>
        <w:tab/>
      </w:r>
      <w:r w:rsidRPr="007910AB">
        <w:rPr>
          <w:lang w:val="pt-BR"/>
        </w:rPr>
        <w:t>b</w:t>
      </w:r>
      <w:r>
        <w:t>) c</w:t>
      </w:r>
      <w:r>
        <w:rPr>
          <w:vertAlign w:val="subscript"/>
        </w:rPr>
        <w:t>p</w:t>
      </w:r>
      <w:r w:rsidRPr="007910AB">
        <w:rPr>
          <w:vertAlign w:val="subscript"/>
          <w:lang w:val="pt-BR"/>
        </w:rPr>
        <w:t xml:space="preserve"> </w:t>
      </w:r>
      <w:r w:rsidRPr="007910AB">
        <w:rPr>
          <w:lang w:val="pt-BR"/>
        </w:rPr>
        <w:t>= c</w:t>
      </w:r>
      <w:r w:rsidRPr="007910AB">
        <w:rPr>
          <w:vertAlign w:val="subscript"/>
          <w:lang w:val="pt-BR"/>
        </w:rPr>
        <w:t>v</w:t>
      </w:r>
      <w:r w:rsidRPr="007910AB">
        <w:rPr>
          <w:lang w:val="pt-BR"/>
        </w:rPr>
        <w:tab/>
      </w:r>
      <w:r w:rsidRPr="007910AB">
        <w:rPr>
          <w:lang w:val="pt-BR"/>
        </w:rPr>
        <w:tab/>
        <w:t xml:space="preserve">c) </w:t>
      </w:r>
      <w:r>
        <w:t>c</w:t>
      </w:r>
      <w:r>
        <w:rPr>
          <w:vertAlign w:val="subscript"/>
        </w:rPr>
        <w:t>p</w:t>
      </w:r>
      <w:r w:rsidRPr="007910AB">
        <w:rPr>
          <w:vertAlign w:val="subscript"/>
          <w:lang w:val="pt-BR"/>
        </w:rPr>
        <w:t xml:space="preserve"> </w:t>
      </w:r>
      <w:r w:rsidRPr="007910AB">
        <w:rPr>
          <w:lang w:val="pt-BR"/>
        </w:rPr>
        <w:t>&lt;&lt; c</w:t>
      </w:r>
      <w:r w:rsidRPr="007910AB">
        <w:rPr>
          <w:vertAlign w:val="subscript"/>
          <w:lang w:val="pt-BR"/>
        </w:rPr>
        <w:t>v</w:t>
      </w:r>
      <w:r w:rsidRPr="007910AB">
        <w:rPr>
          <w:vertAlign w:val="subscript"/>
          <w:lang w:val="pt-BR"/>
        </w:rPr>
        <w:tab/>
      </w:r>
      <w:r w:rsidRPr="007910AB">
        <w:rPr>
          <w:vertAlign w:val="subscript"/>
          <w:lang w:val="pt-BR"/>
        </w:rPr>
        <w:tab/>
      </w:r>
      <w:r w:rsidRPr="00464B66">
        <w:t>d)</w:t>
      </w:r>
      <w:r>
        <w:rPr>
          <w:color w:val="FF0000"/>
        </w:rPr>
        <w:t xml:space="preserve"> </w:t>
      </w:r>
      <w:r>
        <w:t>c</w:t>
      </w:r>
      <w:r>
        <w:rPr>
          <w:vertAlign w:val="subscript"/>
        </w:rPr>
        <w:t>p</w:t>
      </w:r>
      <w:r w:rsidRPr="007910AB">
        <w:rPr>
          <w:vertAlign w:val="subscript"/>
          <w:lang w:val="pt-BR"/>
        </w:rPr>
        <w:t xml:space="preserve"> </w:t>
      </w:r>
      <w:r w:rsidRPr="007910AB">
        <w:rPr>
          <w:lang w:val="pt-BR"/>
        </w:rPr>
        <w:t>&gt; c</w:t>
      </w:r>
      <w:r w:rsidRPr="007910AB">
        <w:rPr>
          <w:vertAlign w:val="subscript"/>
          <w:lang w:val="pt-BR"/>
        </w:rPr>
        <w:t>v</w:t>
      </w:r>
    </w:p>
    <w:p w:rsidR="0013444F" w:rsidRDefault="0013444F" w:rsidP="00210BAA">
      <w:pPr>
        <w:ind w:left="708"/>
      </w:pPr>
    </w:p>
    <w:p w:rsidR="0013444F" w:rsidRDefault="0013444F" w:rsidP="00210BAA"/>
    <w:p w:rsidR="0013444F" w:rsidRDefault="0013444F" w:rsidP="001E3B50">
      <w:pPr>
        <w:numPr>
          <w:ilvl w:val="0"/>
          <w:numId w:val="28"/>
        </w:numPr>
        <w:spacing w:after="0" w:line="240" w:lineRule="auto"/>
      </w:pPr>
      <w:r>
        <w:t xml:space="preserve">Výraz </w:t>
      </w:r>
      <w:r w:rsidRPr="00EA6AA5">
        <w:rPr>
          <w:position w:val="-10"/>
        </w:rPr>
        <w:object w:dxaOrig="1160" w:dyaOrig="320">
          <v:shape id="_x0000_i1044" type="#_x0000_t75" style="width:57.75pt;height:15.75pt" o:ole="">
            <v:imagedata r:id="rId33" o:title=""/>
          </v:shape>
          <o:OLEObject Type="Embed" ProgID="Equation.3" ShapeID="_x0000_i1044" DrawAspect="Content" ObjectID="_1435318736" r:id="rId34"/>
        </w:object>
      </w:r>
      <w:r>
        <w:t xml:space="preserve"> udává práci konanou ideálním plynem při ději:</w:t>
      </w:r>
    </w:p>
    <w:p w:rsidR="0013444F" w:rsidRDefault="0013444F" w:rsidP="00210BAA">
      <w:pPr>
        <w:ind w:left="708"/>
      </w:pPr>
      <w:r w:rsidRPr="00464B66">
        <w:t>a)</w:t>
      </w:r>
      <w:r>
        <w:t xml:space="preserve"> izobarický</w:t>
      </w:r>
      <w:r>
        <w:tab/>
      </w:r>
      <w:r>
        <w:tab/>
      </w:r>
      <w:r w:rsidRPr="000A1EC3">
        <w:t>b)</w:t>
      </w:r>
      <w:r>
        <w:rPr>
          <w:color w:val="FF0000"/>
        </w:rPr>
        <w:t xml:space="preserve"> </w:t>
      </w:r>
      <w:r>
        <w:t>izochorický</w:t>
      </w:r>
      <w:r>
        <w:tab/>
      </w:r>
      <w:r>
        <w:tab/>
        <w:t>c) izotermický</w:t>
      </w:r>
      <w:r>
        <w:tab/>
      </w:r>
      <w:r>
        <w:tab/>
        <w:t xml:space="preserve">d) adiabatický </w:t>
      </w:r>
    </w:p>
    <w:p w:rsidR="0013444F" w:rsidRDefault="0013444F" w:rsidP="00210BAA"/>
    <w:p w:rsidR="0013444F" w:rsidRDefault="0013444F" w:rsidP="001E3B50">
      <w:pPr>
        <w:numPr>
          <w:ilvl w:val="0"/>
          <w:numId w:val="28"/>
        </w:numPr>
        <w:spacing w:after="0" w:line="240" w:lineRule="auto"/>
      </w:pPr>
      <w:r>
        <w:t>Vyberte nesprávné řešení: Poissonova konstanta</w:t>
      </w:r>
    </w:p>
    <w:p w:rsidR="0013444F" w:rsidRDefault="0013444F" w:rsidP="00210BAA">
      <w:pPr>
        <w:ind w:left="708"/>
      </w:pPr>
      <w:r w:rsidRPr="00464B66">
        <w:t>a)</w:t>
      </w:r>
      <w:r>
        <w:t xml:space="preserve"> je dána poměrem c</w:t>
      </w:r>
      <w:r>
        <w:rPr>
          <w:vertAlign w:val="subscript"/>
        </w:rPr>
        <w:t>v</w:t>
      </w:r>
      <w:r>
        <w:t xml:space="preserve"> / c</w:t>
      </w:r>
      <w:r>
        <w:rPr>
          <w:vertAlign w:val="subscript"/>
        </w:rPr>
        <w:t>p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b) je větší než 1</w:t>
      </w:r>
      <w:r>
        <w:tab/>
      </w:r>
      <w:r>
        <w:tab/>
        <w:t>c) je dána poměrem c</w:t>
      </w:r>
      <w:r>
        <w:rPr>
          <w:vertAlign w:val="subscript"/>
        </w:rPr>
        <w:t>p</w:t>
      </w:r>
      <w:r>
        <w:t xml:space="preserve"> / c</w:t>
      </w:r>
      <w:r>
        <w:rPr>
          <w:vertAlign w:val="subscript"/>
        </w:rPr>
        <w:t>v</w:t>
      </w:r>
    </w:p>
    <w:p w:rsidR="0013444F" w:rsidRDefault="0013444F" w:rsidP="00464B66">
      <w:pPr>
        <w:ind w:left="708"/>
      </w:pPr>
      <w:r>
        <w:t>d) je exponentem ve vztahu pro závislost mezi tlakem a objemem při adiabatickém ději</w:t>
      </w:r>
    </w:p>
    <w:p w:rsidR="0013444F" w:rsidRDefault="0013444F" w:rsidP="00210BAA">
      <w:pPr>
        <w:ind w:left="708"/>
      </w:pPr>
    </w:p>
    <w:p w:rsidR="0013444F" w:rsidRDefault="0013444F" w:rsidP="00210BAA">
      <w:pPr>
        <w:ind w:left="708"/>
      </w:pPr>
    </w:p>
    <w:p w:rsidR="0013444F" w:rsidRDefault="0013444F" w:rsidP="00210BAA">
      <w:pPr>
        <w:ind w:left="708"/>
      </w:pPr>
    </w:p>
    <w:p w:rsidR="0013444F" w:rsidRDefault="0013444F" w:rsidP="00210BAA">
      <w:pPr>
        <w:ind w:left="708"/>
      </w:pPr>
    </w:p>
    <w:p w:rsidR="0013444F" w:rsidRDefault="0013444F" w:rsidP="007910AB"/>
    <w:p w:rsidR="0013444F" w:rsidRDefault="0013444F" w:rsidP="00210BA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A1AD1">
        <w:rPr>
          <w:b/>
          <w:sz w:val="28"/>
          <w:szCs w:val="28"/>
        </w:rPr>
        <w:t>Příklady</w:t>
      </w:r>
    </w:p>
    <w:p w:rsidR="0013444F" w:rsidRDefault="0013444F" w:rsidP="00210B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3444F" w:rsidRDefault="0013444F" w:rsidP="00464B66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 xml:space="preserve">V uzavřené nádobě o objemu </w:t>
      </w:r>
      <w:smartTag w:uri="urn:schemas-microsoft-com:office:smarttags" w:element="metricconverter">
        <w:smartTagPr>
          <w:attr w:name="ProductID" w:val="2,5 l"/>
        </w:smartTagPr>
        <w:r>
          <w:t>2,5 l</w:t>
        </w:r>
      </w:smartTag>
      <w:r>
        <w:t xml:space="preserve"> je dusík o hustotě </w:t>
      </w:r>
      <w:smartTag w:uri="urn:schemas-microsoft-com:office:smarttags" w:element="metricconverter">
        <w:smartTagPr>
          <w:attr w:name="ProductID" w:val="1,4 kg"/>
        </w:smartTagPr>
        <w:r>
          <w:t>1,4 kg</w:t>
        </w:r>
      </w:smartTag>
      <w:r>
        <w:t>.m</w:t>
      </w:r>
      <w:r>
        <w:rPr>
          <w:vertAlign w:val="superscript"/>
        </w:rPr>
        <w:t>-3</w:t>
      </w:r>
      <w:r>
        <w:t xml:space="preserve">. Jaké teplo přijme dusík,      jestliže se jeho teplota zvýší o 90 </w:t>
      </w:r>
      <w:r w:rsidRPr="00464B66">
        <w:rPr>
          <w:vertAlign w:val="superscript"/>
        </w:rPr>
        <w:t>o</w:t>
      </w:r>
      <w:r>
        <w:t>C při stálém objemu? Měrná tepelná kapacita dusík při stálém objemu je 739 J.kg</w:t>
      </w:r>
      <w:r w:rsidRPr="00464B66">
        <w:rPr>
          <w:vertAlign w:val="superscript"/>
        </w:rPr>
        <w:t>-1</w:t>
      </w:r>
      <w:r>
        <w:t>.K</w:t>
      </w:r>
      <w:r w:rsidRPr="00464B66">
        <w:rPr>
          <w:vertAlign w:val="superscript"/>
        </w:rPr>
        <w:t>-1</w:t>
      </w:r>
      <w:r>
        <w:t>.</w:t>
      </w:r>
    </w:p>
    <w:p w:rsidR="0013444F" w:rsidRDefault="0013444F" w:rsidP="00210BAA">
      <w:pPr>
        <w:widowControl w:val="0"/>
        <w:autoSpaceDE w:val="0"/>
        <w:autoSpaceDN w:val="0"/>
        <w:adjustRightInd w:val="0"/>
      </w:pPr>
    </w:p>
    <w:p w:rsidR="0013444F" w:rsidRDefault="0013444F" w:rsidP="00210BAA">
      <w:pPr>
        <w:widowControl w:val="0"/>
        <w:autoSpaceDE w:val="0"/>
        <w:autoSpaceDN w:val="0"/>
        <w:adjustRightInd w:val="0"/>
      </w:pPr>
    </w:p>
    <w:p w:rsidR="0013444F" w:rsidRDefault="0013444F" w:rsidP="00464B66">
      <w:pPr>
        <w:widowControl w:val="0"/>
        <w:autoSpaceDE w:val="0"/>
        <w:autoSpaceDN w:val="0"/>
        <w:adjustRightInd w:val="0"/>
        <w:ind w:left="284"/>
      </w:pPr>
      <w:r>
        <w:t xml:space="preserve">2. </w:t>
      </w:r>
      <w:r>
        <w:tab/>
        <w:t>Jaké teplo přijme kyslík O</w:t>
      </w:r>
      <w:r>
        <w:rPr>
          <w:vertAlign w:val="subscript"/>
        </w:rPr>
        <w:t>2</w:t>
      </w:r>
      <w:r>
        <w:t xml:space="preserve"> o hmotnosti 15g, jestliže se jeho teplota zvýší o 60</w:t>
      </w:r>
      <w:r>
        <w:rPr>
          <w:vertAlign w:val="superscript"/>
        </w:rPr>
        <w:t>o</w:t>
      </w:r>
      <w:r>
        <w:t xml:space="preserve">C při </w:t>
      </w:r>
      <w:r>
        <w:br/>
        <w:t xml:space="preserve">    </w:t>
      </w:r>
      <w:r>
        <w:tab/>
        <w:t>stálém tlaku? Měrná tepelná kapacita kyslíku při stálém tlaku je 912 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>.</w:t>
      </w:r>
    </w:p>
    <w:p w:rsidR="0013444F" w:rsidRDefault="0013444F" w:rsidP="00210BAA">
      <w:pPr>
        <w:widowControl w:val="0"/>
        <w:autoSpaceDE w:val="0"/>
        <w:autoSpaceDN w:val="0"/>
        <w:adjustRightInd w:val="0"/>
      </w:pPr>
    </w:p>
    <w:p w:rsidR="0013444F" w:rsidRDefault="0013444F" w:rsidP="00210BAA">
      <w:pPr>
        <w:widowControl w:val="0"/>
        <w:autoSpaceDE w:val="0"/>
        <w:autoSpaceDN w:val="0"/>
        <w:adjustRightInd w:val="0"/>
      </w:pPr>
    </w:p>
    <w:p w:rsidR="0013444F" w:rsidRPr="00C3586B" w:rsidRDefault="0013444F" w:rsidP="00464B66">
      <w:pPr>
        <w:widowControl w:val="0"/>
        <w:autoSpaceDE w:val="0"/>
        <w:autoSpaceDN w:val="0"/>
        <w:adjustRightInd w:val="0"/>
        <w:ind w:left="284"/>
      </w:pPr>
      <w:r>
        <w:t xml:space="preserve">3. </w:t>
      </w:r>
      <w:r>
        <w:tab/>
        <w:t>Jak se změní vnitřní energie kyslíku O</w:t>
      </w:r>
      <w:r>
        <w:rPr>
          <w:vertAlign w:val="subscript"/>
        </w:rPr>
        <w:t>2</w:t>
      </w:r>
      <w:r>
        <w:t xml:space="preserve"> o hmotnosti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>, zvýší – li se jeho teplota z 10</w:t>
      </w:r>
      <w:r>
        <w:rPr>
          <w:vertAlign w:val="superscript"/>
        </w:rPr>
        <w:t>o</w:t>
      </w:r>
      <w:r>
        <w:t>C</w:t>
      </w:r>
      <w:r>
        <w:br/>
        <w:t xml:space="preserve">    </w:t>
      </w:r>
      <w:r>
        <w:tab/>
        <w:t>na 60</w:t>
      </w:r>
      <w:r>
        <w:rPr>
          <w:vertAlign w:val="superscript"/>
        </w:rPr>
        <w:t>o</w:t>
      </w:r>
      <w:r>
        <w:t xml:space="preserve">C a) při stálém objemu, b) při stálém tlaku? Měrná tepelná kapacita kyslíku je při  </w:t>
      </w:r>
      <w:r>
        <w:br/>
        <w:t xml:space="preserve">    </w:t>
      </w:r>
      <w:r>
        <w:tab/>
        <w:t>stálém objemu 651 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 xml:space="preserve">. Kyslík považujeme za uvedených podmínek za ideální plyn. </w:t>
      </w:r>
      <w:r>
        <w:br/>
        <w:t xml:space="preserve">        Určete v obou případech rovněž teplo, které kyslík přijme a práci, kterou plyn vykoná.</w:t>
      </w:r>
    </w:p>
    <w:p w:rsidR="0013444F" w:rsidRPr="00BA1AD1" w:rsidRDefault="0013444F" w:rsidP="00210B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3444F" w:rsidRPr="000A1EC3" w:rsidRDefault="0013444F" w:rsidP="00210BAA">
      <w:pPr>
        <w:ind w:left="708"/>
      </w:pPr>
    </w:p>
    <w:p w:rsidR="0013444F" w:rsidRDefault="0013444F" w:rsidP="009C38A1">
      <w:pPr>
        <w:ind w:left="720"/>
      </w:pPr>
    </w:p>
    <w:p w:rsidR="0013444F" w:rsidRDefault="0013444F" w:rsidP="009C38A1">
      <w:pPr>
        <w:ind w:left="720"/>
      </w:pPr>
    </w:p>
    <w:p w:rsidR="0013444F" w:rsidRDefault="0013444F" w:rsidP="009C38A1">
      <w:pPr>
        <w:ind w:left="720"/>
      </w:pPr>
    </w:p>
    <w:p w:rsidR="0013444F" w:rsidRDefault="0013444F" w:rsidP="009C38A1">
      <w:pPr>
        <w:ind w:left="720"/>
      </w:pPr>
    </w:p>
    <w:p w:rsidR="0013444F" w:rsidRDefault="0013444F" w:rsidP="009C38A1">
      <w:pPr>
        <w:ind w:left="720"/>
      </w:pPr>
    </w:p>
    <w:p w:rsidR="0013444F" w:rsidRDefault="0013444F" w:rsidP="00984D33">
      <w:pPr>
        <w:ind w:left="720"/>
      </w:pPr>
      <w:r>
        <w:tab/>
      </w:r>
    </w:p>
    <w:p w:rsidR="0013444F" w:rsidRDefault="0013444F" w:rsidP="00984D33">
      <w:pPr>
        <w:ind w:left="720"/>
      </w:pPr>
    </w:p>
    <w:p w:rsidR="0013444F" w:rsidRDefault="0013444F" w:rsidP="00984D33"/>
    <w:p w:rsidR="0013444F" w:rsidRDefault="0013444F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13444F" w:rsidRPr="009C38A1" w:rsidRDefault="0013444F" w:rsidP="009C38A1">
      <w:pPr>
        <w:numPr>
          <w:ilvl w:val="0"/>
          <w:numId w:val="22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13444F" w:rsidRDefault="0013444F" w:rsidP="00D23EAC">
      <w:pPr>
        <w:numPr>
          <w:ilvl w:val="0"/>
          <w:numId w:val="19"/>
        </w:numPr>
        <w:rPr>
          <w:rFonts w:ascii="Arial Black" w:hAnsi="Arial Black"/>
        </w:rPr>
      </w:pPr>
      <w:r>
        <w:t>archiv autora</w:t>
      </w:r>
    </w:p>
    <w:p w:rsidR="0013444F" w:rsidRDefault="0013444F" w:rsidP="00D23EAC">
      <w:pPr>
        <w:rPr>
          <w:sz w:val="28"/>
          <w:szCs w:val="28"/>
        </w:rPr>
      </w:pPr>
    </w:p>
    <w:p w:rsidR="0013444F" w:rsidRDefault="0013444F" w:rsidP="00107930">
      <w:pPr>
        <w:rPr>
          <w:rFonts w:ascii="Times New Roman" w:hAnsi="Times New Roman"/>
        </w:rPr>
      </w:pPr>
    </w:p>
    <w:p w:rsidR="0013444F" w:rsidRDefault="0013444F" w:rsidP="00107930">
      <w:pPr>
        <w:rPr>
          <w:rFonts w:ascii="Times New Roman" w:hAnsi="Times New Roman"/>
        </w:rPr>
      </w:pPr>
    </w:p>
    <w:p w:rsidR="0013444F" w:rsidRDefault="0013444F" w:rsidP="00107930">
      <w:pPr>
        <w:rPr>
          <w:rFonts w:ascii="Times New Roman" w:hAnsi="Times New Roman"/>
        </w:rPr>
      </w:pPr>
    </w:p>
    <w:p w:rsidR="0013444F" w:rsidRDefault="0013444F" w:rsidP="00107930">
      <w:pPr>
        <w:rPr>
          <w:rFonts w:ascii="Times New Roman" w:hAnsi="Times New Roman"/>
        </w:rPr>
      </w:pPr>
    </w:p>
    <w:p w:rsidR="0013444F" w:rsidRDefault="0013444F" w:rsidP="00107930">
      <w:pPr>
        <w:rPr>
          <w:rFonts w:ascii="Times New Roman" w:hAnsi="Times New Roman"/>
        </w:rPr>
      </w:pPr>
    </w:p>
    <w:p w:rsidR="0013444F" w:rsidRDefault="0013444F" w:rsidP="00107930">
      <w:pPr>
        <w:rPr>
          <w:rFonts w:ascii="Times New Roman" w:hAnsi="Times New Roman"/>
        </w:rPr>
      </w:pPr>
    </w:p>
    <w:p w:rsidR="0013444F" w:rsidRDefault="0013444F" w:rsidP="00107930">
      <w:pPr>
        <w:rPr>
          <w:rFonts w:ascii="Times New Roman" w:hAnsi="Times New Roman"/>
        </w:rPr>
      </w:pPr>
    </w:p>
    <w:p w:rsidR="0013444F" w:rsidRDefault="0013444F" w:rsidP="00107930">
      <w:pPr>
        <w:rPr>
          <w:rFonts w:ascii="Times New Roman" w:hAnsi="Times New Roman"/>
        </w:rPr>
      </w:pPr>
    </w:p>
    <w:p w:rsidR="0013444F" w:rsidRDefault="0013444F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13444F" w:rsidRPr="00802ADC" w:rsidRDefault="0013444F" w:rsidP="00BB09A9">
      <w:pPr>
        <w:rPr>
          <w:rFonts w:ascii="Times New Roman" w:hAnsi="Times New Roman"/>
        </w:rPr>
      </w:pPr>
    </w:p>
    <w:sectPr w:rsidR="0013444F" w:rsidRPr="00802ADC" w:rsidSect="00984D33">
      <w:headerReference w:type="default" r:id="rId35"/>
      <w:pgSz w:w="11906" w:h="16838"/>
      <w:pgMar w:top="78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4F" w:rsidRDefault="0013444F" w:rsidP="00107930">
      <w:pPr>
        <w:spacing w:after="0" w:line="240" w:lineRule="auto"/>
      </w:pPr>
      <w:r>
        <w:separator/>
      </w:r>
    </w:p>
  </w:endnote>
  <w:endnote w:type="continuationSeparator" w:id="1">
    <w:p w:rsidR="0013444F" w:rsidRDefault="0013444F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4F" w:rsidRDefault="0013444F" w:rsidP="00107930">
      <w:pPr>
        <w:spacing w:after="0" w:line="240" w:lineRule="auto"/>
      </w:pPr>
      <w:r>
        <w:separator/>
      </w:r>
    </w:p>
  </w:footnote>
  <w:footnote w:type="continuationSeparator" w:id="1">
    <w:p w:rsidR="0013444F" w:rsidRDefault="0013444F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4F" w:rsidRDefault="0013444F" w:rsidP="00107930">
    <w:pPr>
      <w:pStyle w:val="Header"/>
      <w:jc w:val="center"/>
    </w:pPr>
  </w:p>
  <w:p w:rsidR="0013444F" w:rsidRDefault="0013444F">
    <w:pPr>
      <w:pStyle w:val="Head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F94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7A2B71"/>
    <w:multiLevelType w:val="hybridMultilevel"/>
    <w:tmpl w:val="24204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3350C"/>
    <w:multiLevelType w:val="hybridMultilevel"/>
    <w:tmpl w:val="B9EE5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5759"/>
    <w:multiLevelType w:val="hybridMultilevel"/>
    <w:tmpl w:val="16369ABA"/>
    <w:lvl w:ilvl="0" w:tplc="C30638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F664E8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FC22B9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391D2D"/>
    <w:multiLevelType w:val="hybridMultilevel"/>
    <w:tmpl w:val="999A1A0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F5C02"/>
    <w:multiLevelType w:val="hybridMultilevel"/>
    <w:tmpl w:val="AFB42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C05C64"/>
    <w:multiLevelType w:val="hybridMultilevel"/>
    <w:tmpl w:val="474EF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7620CD"/>
    <w:multiLevelType w:val="hybridMultilevel"/>
    <w:tmpl w:val="EA0C94A8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A5970"/>
    <w:multiLevelType w:val="hybridMultilevel"/>
    <w:tmpl w:val="2E5CE3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29723E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FC36AB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8668FF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77495D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04CF3"/>
    <w:multiLevelType w:val="hybridMultilevel"/>
    <w:tmpl w:val="ABA42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A7C94"/>
    <w:multiLevelType w:val="hybridMultilevel"/>
    <w:tmpl w:val="51580D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A72D8A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68195332"/>
    <w:multiLevelType w:val="hybridMultilevel"/>
    <w:tmpl w:val="D122C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336CCF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7A6714"/>
    <w:multiLevelType w:val="hybridMultilevel"/>
    <w:tmpl w:val="6DA846D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8D7342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734620E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22"/>
  </w:num>
  <w:num w:numId="5">
    <w:abstractNumId w:val="4"/>
  </w:num>
  <w:num w:numId="6">
    <w:abstractNumId w:val="24"/>
  </w:num>
  <w:num w:numId="7">
    <w:abstractNumId w:val="16"/>
  </w:num>
  <w:num w:numId="8">
    <w:abstractNumId w:val="17"/>
  </w:num>
  <w:num w:numId="9">
    <w:abstractNumId w:val="1"/>
  </w:num>
  <w:num w:numId="10">
    <w:abstractNumId w:val="15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5"/>
  </w:num>
  <w:num w:numId="16">
    <w:abstractNumId w:val="13"/>
  </w:num>
  <w:num w:numId="17">
    <w:abstractNumId w:val="6"/>
  </w:num>
  <w:num w:numId="18">
    <w:abstractNumId w:val="18"/>
  </w:num>
  <w:num w:numId="1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23"/>
  </w:num>
  <w:num w:numId="25">
    <w:abstractNumId w:val="7"/>
  </w:num>
  <w:num w:numId="26">
    <w:abstractNumId w:val="3"/>
  </w:num>
  <w:num w:numId="27">
    <w:abstractNumId w:val="1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43F11"/>
    <w:rsid w:val="00050A19"/>
    <w:rsid w:val="00060DDD"/>
    <w:rsid w:val="000A1EC3"/>
    <w:rsid w:val="000C28FC"/>
    <w:rsid w:val="00101598"/>
    <w:rsid w:val="00107930"/>
    <w:rsid w:val="0013444F"/>
    <w:rsid w:val="00135F43"/>
    <w:rsid w:val="00154B08"/>
    <w:rsid w:val="001766C2"/>
    <w:rsid w:val="001E3B50"/>
    <w:rsid w:val="00210BAA"/>
    <w:rsid w:val="0021778D"/>
    <w:rsid w:val="00263588"/>
    <w:rsid w:val="0028440E"/>
    <w:rsid w:val="002A2F2E"/>
    <w:rsid w:val="003454C6"/>
    <w:rsid w:val="00362309"/>
    <w:rsid w:val="00372479"/>
    <w:rsid w:val="003935AA"/>
    <w:rsid w:val="003D0E86"/>
    <w:rsid w:val="003E398B"/>
    <w:rsid w:val="003E3BDC"/>
    <w:rsid w:val="003F7C49"/>
    <w:rsid w:val="00400482"/>
    <w:rsid w:val="00464B66"/>
    <w:rsid w:val="004E0EE8"/>
    <w:rsid w:val="00524249"/>
    <w:rsid w:val="00534029"/>
    <w:rsid w:val="005704A5"/>
    <w:rsid w:val="005746AE"/>
    <w:rsid w:val="00582279"/>
    <w:rsid w:val="00594AAC"/>
    <w:rsid w:val="005F468A"/>
    <w:rsid w:val="00600AF5"/>
    <w:rsid w:val="006919F9"/>
    <w:rsid w:val="00695CB5"/>
    <w:rsid w:val="006978C2"/>
    <w:rsid w:val="006A1ABB"/>
    <w:rsid w:val="006A256F"/>
    <w:rsid w:val="006A614A"/>
    <w:rsid w:val="006D60AA"/>
    <w:rsid w:val="006D7362"/>
    <w:rsid w:val="00722FD4"/>
    <w:rsid w:val="0074272C"/>
    <w:rsid w:val="007471BE"/>
    <w:rsid w:val="007624BD"/>
    <w:rsid w:val="007910AB"/>
    <w:rsid w:val="00793E9A"/>
    <w:rsid w:val="007A7F04"/>
    <w:rsid w:val="007B7071"/>
    <w:rsid w:val="007D0956"/>
    <w:rsid w:val="007D6ABE"/>
    <w:rsid w:val="007D7F28"/>
    <w:rsid w:val="00802ADC"/>
    <w:rsid w:val="00863F52"/>
    <w:rsid w:val="00870C4E"/>
    <w:rsid w:val="00921414"/>
    <w:rsid w:val="00925D5B"/>
    <w:rsid w:val="00947B0A"/>
    <w:rsid w:val="00954F5B"/>
    <w:rsid w:val="00980387"/>
    <w:rsid w:val="00984146"/>
    <w:rsid w:val="00984D33"/>
    <w:rsid w:val="009902F9"/>
    <w:rsid w:val="009C38A1"/>
    <w:rsid w:val="009C580C"/>
    <w:rsid w:val="009E266C"/>
    <w:rsid w:val="009F5FDD"/>
    <w:rsid w:val="00A7541E"/>
    <w:rsid w:val="00B57B41"/>
    <w:rsid w:val="00BA1AD1"/>
    <w:rsid w:val="00BA2E58"/>
    <w:rsid w:val="00BB09A9"/>
    <w:rsid w:val="00BE6743"/>
    <w:rsid w:val="00BF0D1B"/>
    <w:rsid w:val="00C3586B"/>
    <w:rsid w:val="00C64241"/>
    <w:rsid w:val="00CA6945"/>
    <w:rsid w:val="00CE551B"/>
    <w:rsid w:val="00D23EAC"/>
    <w:rsid w:val="00D27BE5"/>
    <w:rsid w:val="00D7077C"/>
    <w:rsid w:val="00D80B8C"/>
    <w:rsid w:val="00DA3F40"/>
    <w:rsid w:val="00DB6D7F"/>
    <w:rsid w:val="00DC2E2C"/>
    <w:rsid w:val="00DC7088"/>
    <w:rsid w:val="00DD46E7"/>
    <w:rsid w:val="00DF5013"/>
    <w:rsid w:val="00E14624"/>
    <w:rsid w:val="00E147C9"/>
    <w:rsid w:val="00E41C03"/>
    <w:rsid w:val="00E45350"/>
    <w:rsid w:val="00EA436A"/>
    <w:rsid w:val="00EA6AA5"/>
    <w:rsid w:val="00EF6033"/>
    <w:rsid w:val="00F44BA3"/>
    <w:rsid w:val="00F66B8B"/>
    <w:rsid w:val="00F91DF5"/>
    <w:rsid w:val="00FC7DAA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5D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216</TotalTime>
  <Pages>1</Pages>
  <Words>561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60</cp:revision>
  <dcterms:created xsi:type="dcterms:W3CDTF">2012-02-06T08:06:00Z</dcterms:created>
  <dcterms:modified xsi:type="dcterms:W3CDTF">2013-07-14T12:52:00Z</dcterms:modified>
</cp:coreProperties>
</file>